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logc-20260529.htm"/>
      <w:bookmarkStart w:id="1" w:name="kslogc20260529"/>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29,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ContextLogic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91" w:type="dxa"/>
        <w:jc w:val="left"/>
        <w:tblInd w:w="0" w:type="dxa"/>
        <w:tblLayout w:type="fixed"/>
        <w:tblCellMar>
          <w:top w:w="28" w:type="dxa"/>
          <w:left w:w="28" w:type="dxa"/>
          <w:bottom w:w="28" w:type="dxa"/>
          <w:right w:w="28" w:type="dxa"/>
        </w:tblCellMar>
      </w:tblPr>
      <w:tblGrid>
        <w:gridCol w:w="1051"/>
        <w:gridCol w:w="923"/>
        <w:gridCol w:w="935"/>
        <w:gridCol w:w="1846"/>
        <w:gridCol w:w="1336"/>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000-56773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27-2930953</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2648 International Blvd., Ste 301</w:t>
            </w:r>
          </w:p>
        </w:tc>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Oakland,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965-8476</w:t>
            </w:r>
          </w:p>
        </w:tc>
      </w:tr>
    </w:tbl>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tbl>
      <w:tblPr>
        <w:tblW w:w="8463" w:type="dxa"/>
        <w:jc w:val="left"/>
        <w:tblInd w:w="0" w:type="dxa"/>
        <w:tblLayout w:type="fixed"/>
        <w:tblCellMar>
          <w:top w:w="28" w:type="dxa"/>
          <w:left w:w="28" w:type="dxa"/>
          <w:bottom w:w="28" w:type="dxa"/>
          <w:right w:w="28" w:type="dxa"/>
        </w:tblCellMar>
      </w:tblPr>
      <w:tblGrid>
        <w:gridCol w:w="2941"/>
        <w:gridCol w:w="169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LOGC</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OTCQB</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29, 2026, Chad Chevalier, Interim Chief Financial Officer of ContextLogic Holdings Inc. (the “Company”), provided notice of his intention to resign from the Company, effective June 1, 2026. Mr. Chevalier’s resignation is not the result of any disagreement with the Company on any matter relating to the Company’s operations, policies, or practices.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1, 2026 the Company also announced the appointment of Scott Stewart, age 53, as Chief Financial Officer and Chief Operating Officer, effective June 1, 2026 (the “Effective Date”). Mr. Stewart joins the Company after serving as the Chief Financial Officer at Cantaloupe, Inc. (Nasdaq: CTLP), a technology and payments company focused on unattended retail. During his time at Cantaloupe, Mr. Stewart oversaw Cantaloupe’s finance organization, including financial strategy and operations, accounting and financial reporting, planning and analysis, tax, treasury, and investor relations. Prior to Cantaloupe, Mr. Stewart served from 2007 to 2020 with Intercontinental Exchange, Inc. (NYSE: ICE), which operates global exchanges such as the New York Stock Exchange (NYSE), and clearing houses across the globe. During his time at ICE, Mr. Stewart served in various positions, most recently as Assistant Controller, where his responsibilities included managing and overseeing the corporate accounting function, working on complex accounting matters, and working on multiple acquisitions and divestitures, most notably the acquisition of the NYSE. Prior to that, Mr. Stewart spent four years at Ernst and Young in their audit practice. A graduate of Clemson University, Mr. Stewart holds both a Bachelor of Science in Accounting and Master of Professional Accountancy. He is also a certified public accountant (currently inactive).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Mr. Stewart’s appointment and pursuant to the terms of an employment agreement entered into with Mr. Stewart (the “Employment Agreement”) and approved by the Board, Mr. Stewart will receive a base salary of $400,000 per year. Mr. Stewart is also eligible to receive an annual bonus for each fiscal year completed during his employment (the “Annual Bonus”). The target amount of the Annual Bonus will be 37.5% of the base salary, with the actual amount of any such bonus ranging from a minimum of 25% to a maximum of 50% of base salary, as determined by the Board and/or Compensation Committee in their sole discretion based on the attainment of performance goals. Mr. Stewart’s Annual Bonus for 2026 will be prorated for the period that he is employed by the Company during the year. Pursuant to the terms of the Employment Agreement, the Board will grant Mr. Stewart a new hire award of 50,000 restricted stock units (“RSUs”) of the Company’s Common Stock (the “Appointment Grant”). The Appointment Grant will vest in equal installments of 20% of the total RSUs subject to the award on each of the first through fifth anniversaries of the Effective Date, generally subject to Mr. Stewart’s continuous service. Mr. Stewart is also eligible to receive an annual award of not less than 25,000 RSUs (the “Annual Refresh Grant”) in conjunction with, and at the same time as, the payment of the Annual Bonus for up to five consecutive annual bonus cycles following the Effective Date, subject to Mr. Stewart’s continuous service.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Mr. Stewart’s employment, the Company will also pay 100% of his monthly premium costs for health and welfare benefits for Mr. Stewart and his eligible family members.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in connection with his Employment Agreement, Mr. Stewart entered into an Executive Severance and Change in Control Agreement with the Company (the “Severance Agreement”) providing for the following benefits:</w:t>
      </w:r>
    </w:p>
    <w:p>
      <w:pPr>
        <w:pStyle w:val="TextBody"/>
        <w:bidi w:val="0"/>
        <w:spacing w:before="0" w:after="120"/>
        <w:jc w:val="left"/>
        <w:rPr>
          <w:rFonts w:ascii="Times New Roman" w:hAnsi="Times New Roman"/>
          <w:sz w:val="20"/>
        </w:rPr>
      </w:pPr>
      <w:r>
        <w:rPr>
          <w:rFonts w:ascii="Times New Roman" w:hAnsi="Times New Roman"/>
          <w:color w:val="000000"/>
          <w:sz w:val="20"/>
          <w:u w:val="single"/>
        </w:rPr>
        <w:t>Termination Not in Connection with a Change in Control</w:t>
      </w:r>
      <w:r>
        <w:rPr>
          <w:rFonts w:ascii="Times New Roman" w:hAnsi="Times New Roman"/>
          <w:color w:val="000000"/>
          <w:sz w:val="20"/>
        </w:rPr>
        <w:t xml:space="preserve">. Pursuant to his Severance Agreement, Mr. Stewart is eligible to receive a lump sum cash payment equal to six months of his base salary and an additional lump sum cash payment equal to six months of his benefit premiums if his employment is terminated by the Company without cause or he resigns for good reason, and such termination is not in connection with a change in control. In addition, unless the terms of an equity grant state otherwise, Mr. Stewart would also be entitled to accelerated vesting of any unvested time-based equity grants that would otherwise have vested within 12 months after his termination date. </w:t>
      </w:r>
    </w:p>
    <w:p>
      <w:pPr>
        <w:pStyle w:val="TextBody"/>
        <w:bidi w:val="0"/>
        <w:spacing w:before="0" w:after="120"/>
        <w:jc w:val="left"/>
        <w:rPr>
          <w:rFonts w:ascii="Times New Roman" w:hAnsi="Times New Roman"/>
          <w:sz w:val="20"/>
        </w:rPr>
      </w:pPr>
      <w:r>
        <w:rPr>
          <w:rFonts w:ascii="Times New Roman" w:hAnsi="Times New Roman"/>
          <w:color w:val="000000"/>
          <w:sz w:val="20"/>
          <w:u w:val="single"/>
        </w:rPr>
        <w:t>Termination in Connection with a Change in Control</w:t>
      </w:r>
      <w:r>
        <w:rPr>
          <w:rFonts w:ascii="Times New Roman" w:hAnsi="Times New Roman"/>
          <w:color w:val="000000"/>
          <w:sz w:val="20"/>
        </w:rPr>
        <w:t>. Pursuant to his Severance Agreement, Mr. Stewart is eligible to receive a lump sum cash payment equal to 12 months of his base salary, an additional lump sum cash payment equal to 12 months of his benefit premiums, and full acceleration of any unvested time-based equity awards if his employment is terminated by the Company without cause or he resigns for good reason, in either case within three months prior to or 12 months after a change in control.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receipt of the severance benefits described above is subject to Mr. Stewart’s execution of the Company’s then-standard general release of claims.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Mr. Stewart entered into an indemnification agreement with the Company in substantially the form entered into with other officers of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foregoing descriptions of the Employment Agreement and the Severance Agreement do not purport to be complete and are qualified in their entirety by reference to the full text of such agreements, which are filed as Exhibits 10.2 and 10.3 hereto and incorporated herein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1, 2026, the Company issued a press release announcing the appointment of Mr. Stewart. A copy of the press release is attached as Exhibit 99.1 to this Current Report on Form 8-K and is incorporated by reference in this Item 7.01. As provided in General Instruction B.2. to Form 8-K, the information furnished in Item 7.01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60" w:after="180"/>
        <w:jc w:val="both"/>
        <w:rPr>
          <w:rFonts w:ascii="Times New Roman" w:hAnsi="Times New Roman"/>
          <w:color w:val="000000"/>
          <w:sz w:val="20"/>
        </w:rPr>
      </w:pPr>
      <w:r>
        <w:rPr>
          <w:rFonts w:ascii="Times New Roman" w:hAnsi="Times New Roman"/>
          <w:color w:val="000000"/>
          <w:sz w:val="20"/>
        </w:rPr>
        <w:t>(d) Exhibits.</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10_1.htm">
              <w:r>
                <w:rPr>
                  <w:rStyle w:val="InternetLink"/>
                  <w:rFonts w:ascii="Times New Roman" w:hAnsi="Times New Roman"/>
                  <w:color w:val="0000FF"/>
                  <w:sz w:val="20"/>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ogc-ex10_1.htm">
              <w:r>
                <w:rPr>
                  <w:rStyle w:val="InternetLink"/>
                  <w:rFonts w:ascii="Times New Roman" w:hAnsi="Times New Roman"/>
                  <w:color w:val="0000FF"/>
                  <w:sz w:val="20"/>
                  <w:u w:val="single"/>
                </w:rPr>
                <w:t>Form of Indemnification Agreement</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ogc-ex99_1.htm">
              <w:r>
                <w:rPr>
                  <w:rStyle w:val="InternetLink"/>
                  <w:rFonts w:ascii="Times New Roman" w:hAnsi="Times New Roman"/>
                  <w:color w:val="0000FF"/>
                  <w:sz w:val="20"/>
                  <w:u w:val="single"/>
                </w:rPr>
                <w:t>Press release issued by ContextLogic Holdings Inc. on June 1,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79" w:type="dxa"/>
        <w:jc w:val="left"/>
        <w:tblInd w:w="0" w:type="dxa"/>
        <w:tblLayout w:type="fixed"/>
        <w:tblCellMar>
          <w:top w:w="28" w:type="dxa"/>
          <w:left w:w="28" w:type="dxa"/>
          <w:bottom w:w="28" w:type="dxa"/>
          <w:right w:w="28" w:type="dxa"/>
        </w:tblCellMar>
      </w:tblPr>
      <w:tblGrid>
        <w:gridCol w:w="556"/>
        <w:gridCol w:w="1141"/>
        <w:gridCol w:w="451"/>
        <w:gridCol w:w="243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ContextLogic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Mark Ward</w:t>
              <w:br/>
              <w:t>President</w:t>
              <w:br/>
            </w: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 w:name="logc-ex10_1.htm"/>
      <w:bookmarkStart w:id="3" w:name="kslogcex10_1"/>
      <w:bookmarkEnd w:id="2"/>
      <w:bookmarkEnd w:id="3"/>
      <w:r>
        <w:rPr>
          <w:rFonts w:ascii="Times New Roman" w:hAnsi="Times New Roman"/>
          <w:b/>
          <w:i/>
          <w:color w:val="000000"/>
          <w:sz w:val="24"/>
        </w:rPr>
        <w:t>Exhibit 10.1</w:t>
      </w:r>
      <w:r>
        <w:br w:type="page"/>
      </w:r>
    </w:p>
    <w:p>
      <w:pPr>
        <w:pStyle w:val="TextBody"/>
        <w:bidi w:val="0"/>
        <w:jc w:val="right"/>
        <w:rPr>
          <w:rFonts w:ascii="Times New Roman" w:hAnsi="Times New Roman"/>
          <w:sz w:val="20"/>
        </w:rPr>
      </w:pPr>
      <w:r>
        <w:rPr>
          <w:rFonts w:ascii="Times New Roman" w:hAnsi="Times New Roman"/>
          <w:b/>
          <w:i/>
          <w:color w:val="000000"/>
          <w:sz w:val="24"/>
        </w:rPr>
        <w:t>Execution Version</w:t>
      </w:r>
      <w:r>
        <w:rPr>
          <w:rFonts w:ascii="Times New Roman" w:hAnsi="Times New Roman"/>
          <w:color w:val="000000"/>
          <w:sz w:val="20"/>
        </w:rPr>
        <w:t xml:space="preserve"> </w:t>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Indemnification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INDEMNIFICATION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June 1, 2026, between ContextLogic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Scott Stewart (“</w:t>
      </w:r>
      <w:r>
        <w:rPr>
          <w:rFonts w:ascii="Times New Roman" w:hAnsi="Times New Roman"/>
          <w:color w:val="000000"/>
          <w:sz w:val="24"/>
          <w:u w:val="single"/>
        </w:rPr>
        <w:t>Indemnitee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WITNESSETH THAT: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highly competent persons have become more reluctant to serve corporations as directors and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as amended, (the “</w:t>
      </w:r>
      <w:r>
        <w:rPr>
          <w:rFonts w:ascii="Times New Roman" w:hAnsi="Times New Roman"/>
          <w:color w:val="000000"/>
          <w:sz w:val="24"/>
          <w:u w:val="single"/>
        </w:rPr>
        <w:t>Bylaws</w:t>
      </w:r>
      <w:r>
        <w:rPr>
          <w:rFonts w:ascii="Times New Roman" w:hAnsi="Times New Roman"/>
          <w:color w:val="000000"/>
          <w:sz w:val="20"/>
        </w:rPr>
        <w:t>”</w:t>
      </w:r>
      <w:r>
        <w:rPr>
          <w:rFonts w:ascii="Times New Roman" w:hAnsi="Times New Roman"/>
          <w:color w:val="000000"/>
          <w:sz w:val="24"/>
        </w:rPr>
        <w:t>) and Restated Certificate of Incorporation (the “</w:t>
      </w:r>
      <w:r>
        <w:rPr>
          <w:rFonts w:ascii="Times New Roman" w:hAnsi="Times New Roman"/>
          <w:color w:val="000000"/>
          <w:sz w:val="24"/>
          <w:u w:val="single"/>
        </w:rPr>
        <w:t>Restated Certificate</w:t>
      </w:r>
      <w:r>
        <w:rPr>
          <w:rFonts w:ascii="Times New Roman" w:hAnsi="Times New Roman"/>
          <w:color w:val="000000"/>
          <w:sz w:val="20"/>
        </w:rPr>
        <w:t>”</w:t>
      </w:r>
      <w:r>
        <w:rPr>
          <w:rFonts w:ascii="Times New Roman" w:hAnsi="Times New Roman"/>
          <w:color w:val="000000"/>
          <w:sz w:val="24"/>
        </w:rPr>
        <w:t>) of the Company require indemnification of the officers and directors of the Company. Indemnitee may also be entitled to indemnification pursuant to the General Corporation Law of the State of Delaware (“</w:t>
      </w:r>
      <w:r>
        <w:rPr>
          <w:rFonts w:ascii="Times New Roman" w:hAnsi="Times New Roman"/>
          <w:color w:val="000000"/>
          <w:sz w:val="24"/>
          <w:u w:val="single"/>
        </w:rPr>
        <w:t>DGCL</w:t>
      </w:r>
      <w:r>
        <w:rPr>
          <w:rFonts w:ascii="Times New Roman" w:hAnsi="Times New Roman"/>
          <w:color w:val="000000"/>
          <w:sz w:val="20"/>
        </w:rPr>
        <w:t>”</w:t>
      </w:r>
      <w:r>
        <w:rPr>
          <w:rFonts w:ascii="Times New Roman" w:hAnsi="Times New Roman"/>
          <w:color w:val="000000"/>
          <w:sz w:val="24"/>
        </w:rPr>
        <w:t>). The Bylaws, Restated Certificate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uncertainties relating to such insurance and to indemnification have increased the difficulty of attracting and retaining such persons;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this Agreement is a supplement to and in furtherance of the Bylaws and Restated Certificate and any resolutions adopted pursuant thereto, and shall not be deemed a substitute therefor, nor to diminish or abrogate any rights of Indemnitee thereunder;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Indemnitee does not regard the protection available under the Bylaws and Restated Certificate and insurance as adequate in the present circumstances, and may not be willing to serve as an officer and/or director without adequate protection, and the Company desires Indemnitee to serve in such capacity. Indemnitee is willing to serve, continue to serve and to take on additional service for or on behalf of the Company on the condition that he be so indemnified.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Indemnitee is or may become a representative of or affiliated with a venture capital fund (together with any affiliated venture capital funds and the general partners, managing members or other control persons and/or any affiliated management companies, the “VC Funds”, and each, individually, a “VC Fund”), and has certain rights to indemnification and/or insurance provided by the VC Funds, which Indemnitee and the VC Fund intend to be secondary to the primary obligation of the Company to indemnify Indemnitee as provided herein, with the Company’s acknowledgement and agreement to the foregoing being a material condition to Indemnitee’s willingness to serve on the Board.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Indemnitee’s agreement to serve as an officer and/or director from and after the date hereof,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Indemnity of Indemnitee</w:t>
      </w:r>
      <w:r>
        <w:rPr>
          <w:rFonts w:ascii="Times New Roman" w:hAnsi="Times New Roman"/>
          <w:color w:val="000000"/>
          <w:sz w:val="24"/>
        </w:rPr>
        <w:t>. The Company hereby agrees to hold harmless and indemnify Indemnitee to the fullest extent permitted by law, as such may be amended from time to time. In furtherance of the foregoing indemnification, and without limiting the generality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Proceedings Other Than Proceedings by or in the Right of the Company</w:t>
      </w:r>
      <w:r>
        <w:rPr>
          <w:rFonts w:ascii="Times New Roman" w:hAnsi="Times New Roman"/>
          <w:color w:val="000000"/>
          <w:sz w:val="24"/>
        </w:rPr>
        <w:t xml:space="preserve">. Indemnitee shall be entitled to the rights of indemnification provided in this </w:t>
      </w:r>
      <w:r>
        <w:rPr>
          <w:rFonts w:ascii="Times New Roman" w:hAnsi="Times New Roman"/>
          <w:color w:val="000000"/>
          <w:sz w:val="24"/>
          <w:u w:val="single"/>
        </w:rPr>
        <w:t>Section l(a)</w:t>
      </w:r>
      <w:r>
        <w:rPr>
          <w:color w:val="000000"/>
        </w:rPr>
        <w:t xml:space="preserve"> </w:t>
      </w:r>
      <w:r>
        <w:rPr>
          <w:rFonts w:ascii="Times New Roman" w:hAnsi="Times New Roman"/>
          <w:color w:val="000000"/>
          <w:sz w:val="24"/>
        </w:rPr>
        <w:t xml:space="preserve">if, by reason of such person’s Corporate Status (as hereinafter defined), the Indemnitee is, or is threatened to be made, a party to or participant in any Proceeding (as hereinafter defined) other than a Proceeding by or in the right of the Company. Pursuant to this </w:t>
      </w:r>
      <w:r>
        <w:rPr>
          <w:rFonts w:ascii="Times New Roman" w:hAnsi="Times New Roman"/>
          <w:color w:val="000000"/>
          <w:sz w:val="24"/>
          <w:u w:val="single"/>
        </w:rPr>
        <w:t>Section 1(a)</w:t>
      </w:r>
      <w:r>
        <w:rPr>
          <w:rFonts w:ascii="Times New Roman" w:hAnsi="Times New Roman"/>
          <w:color w:val="000000"/>
          <w:sz w:val="24"/>
        </w:rPr>
        <w:t>, Indemnitee shall be indemnified against all Expenses (as hereinafter defined), judgments, penalties, fines and amounts paid in settlement actually and reasonably incurred by such person, or on such person’s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Proceedings by or in the Right of the Company</w:t>
      </w:r>
      <w:r>
        <w:rPr>
          <w:rFonts w:ascii="Times New Roman" w:hAnsi="Times New Roman"/>
          <w:color w:val="000000"/>
          <w:sz w:val="24"/>
        </w:rPr>
        <w:t xml:space="preserve">. Indemnitee shall be entitled to the rights of indemnification provided in this </w:t>
      </w:r>
      <w:r>
        <w:rPr>
          <w:rFonts w:ascii="Times New Roman" w:hAnsi="Times New Roman"/>
          <w:color w:val="000000"/>
          <w:sz w:val="24"/>
          <w:u w:val="single"/>
        </w:rPr>
        <w:t>Section 1(b)</w:t>
      </w:r>
      <w:r>
        <w:rPr>
          <w:color w:val="000000"/>
        </w:rPr>
        <w:t xml:space="preserve"> </w:t>
      </w:r>
      <w:r>
        <w:rPr>
          <w:rFonts w:ascii="Times New Roman" w:hAnsi="Times New Roman"/>
          <w:color w:val="000000"/>
          <w:sz w:val="24"/>
        </w:rPr>
        <w:t xml:space="preserve">if, by reason of such person’s Corporate Status, the Indemnitee is, or is threatened to be made, a party to or participant in any Proceeding brought by or in the right of the Company. Pursuant to this </w:t>
      </w:r>
      <w:r>
        <w:rPr>
          <w:rFonts w:ascii="Times New Roman" w:hAnsi="Times New Roman"/>
          <w:color w:val="000000"/>
          <w:sz w:val="24"/>
          <w:u w:val="single"/>
        </w:rPr>
        <w:t>Section 1(b)</w:t>
      </w:r>
      <w:r>
        <w:rPr>
          <w:rFonts w:ascii="Times New Roman" w:hAnsi="Times New Roman"/>
          <w:color w:val="000000"/>
          <w:sz w:val="24"/>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if applicable law so provides, no indemnification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Indemnification for Expenses of a Party Who is Wholly or Partly Successful</w:t>
      </w:r>
      <w:r>
        <w:rPr>
          <w:rFonts w:ascii="Times New Roman" w:hAnsi="Times New Roman"/>
          <w:color w:val="000000"/>
          <w:sz w:val="24"/>
        </w:rPr>
        <w:t xml:space="preserve">.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and without limitation, the termination of any claim, issue or matter in such a Proceeding by dismissal, with or without prejudice, shall be deemed to be a successful result as to such claim, issue or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Indemnification of VC Fund</w:t>
      </w:r>
      <w:r>
        <w:rPr>
          <w:rFonts w:ascii="Times New Roman" w:hAnsi="Times New Roman"/>
          <w:color w:val="000000"/>
          <w:sz w:val="24"/>
        </w:rPr>
        <w:t>. If (i) any VC Fund is, or is threatened to be made, a party to or a participant in any Proceeding, and (ii) such VC Fund’s involvement in the proceeding is related to Indemnitee’s Corporate Status, then, to the extent resulting from any claim based on the Indemnitee’s Corporate Status, such VC Fund will be entitled to indemnification hereunder for Expenses to the same extent as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Additional Indemnity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Indemnification of Indemnitee</w:t>
      </w:r>
      <w:r>
        <w:rPr>
          <w:rFonts w:ascii="Times New Roman" w:hAnsi="Times New Roman"/>
          <w:color w:val="000000"/>
          <w:sz w:val="24"/>
        </w:rPr>
        <w:t xml:space="preserve">. In addition to, and without regard to any limitations on, the indemnification provided for in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hAnsi="Times New Roman"/>
          <w:color w:val="000000"/>
          <w:sz w:val="24"/>
          <w:u w:val="single"/>
        </w:rPr>
        <w:t>Sections 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color w:val="000000"/>
        </w:rPr>
        <w:t xml:space="preserve"> </w:t>
      </w:r>
      <w:r>
        <w:rPr>
          <w:rFonts w:ascii="Times New Roman" w:hAnsi="Times New Roman"/>
          <w:color w:val="000000"/>
          <w:sz w:val="24"/>
        </w:rPr>
        <w:t>hereof) to be unlawful.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Contribution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Whether or not the indemnification provided in </w:t>
      </w:r>
      <w:r>
        <w:rPr>
          <w:rFonts w:ascii="Times New Roman" w:hAnsi="Times New Roman"/>
          <w:color w:val="000000"/>
          <w:sz w:val="24"/>
          <w:u w:val="single"/>
        </w:rPr>
        <w:t>Sections 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w:t>
      </w:r>
      <w:r>
        <w:rPr>
          <w:color w:val="000000"/>
        </w:rPr>
        <w:t xml:space="preserve"> </w:t>
      </w:r>
      <w:r>
        <w:rPr>
          <w:rFonts w:ascii="Times New Roman" w:hAnsi="Times New Roman"/>
          <w:color w:val="000000"/>
          <w:sz w:val="24"/>
        </w:rPr>
        <w:t xml:space="preserve">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proceeding in which the Company is jointly liable with Indemnitee (or would be if joined in such action, suit or proceeding) unless such settlement provides for a full and final release of all claims asserted against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agrees to fully indemnify and hold Indemnitee harmless from any claims of contribution which may be brought by officers, directors or employees of the Company, other than Indemnitee, who may be jointly liable with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To the fullest extent permissible under applicable law and without diminishing or impairing the obligations of the Company set forth in the preceding subparagraphs of this </w:t>
      </w:r>
      <w:r>
        <w:rPr>
          <w:rFonts w:ascii="Times New Roman" w:hAnsi="Times New Roman"/>
          <w:color w:val="000000"/>
          <w:sz w:val="24"/>
          <w:u w:val="single"/>
        </w:rPr>
        <w:t>Section 3</w:t>
      </w:r>
      <w:r>
        <w:rPr>
          <w:rFonts w:ascii="Times New Roman" w:hAnsi="Times New Roman"/>
          <w:color w:val="000000"/>
          <w:sz w:val="24"/>
        </w:rPr>
        <w:t>,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Indemnification for Expenses of a Witness</w:t>
      </w:r>
      <w:r>
        <w:rPr>
          <w:rFonts w:ascii="Times New Roman" w:hAnsi="Times New Roman"/>
          <w:color w:val="000000"/>
          <w:sz w:val="24"/>
        </w:rPr>
        <w:t xml:space="preserve">. Notwithstanding any other provision of this Agreement, to the extent that Indemnitee is, by reason of his Corporate Status, a witness, or is made (or asked to) respond to discovery requests, in any Proceeding to which Indemnitee is not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he shall be indemnified against all Expenses actually and reasonably incurred by him or on his behalf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Advancement of Expenses</w:t>
      </w:r>
      <w:r>
        <w:rPr>
          <w:rFonts w:ascii="Times New Roman" w:hAnsi="Times New Roman"/>
          <w:color w:val="000000"/>
          <w:sz w:val="24"/>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shall be unsecured and interest free and not conditioned on Indemnitee’s ability to repay such advances.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Procedures and Presumptions for Determination of Entitlement to Indemnification</w:t>
      </w:r>
      <w:r>
        <w:rPr>
          <w:rFonts w:ascii="Times New Roman" w:hAnsi="Times New Roman"/>
          <w:color w:val="000000"/>
          <w:sz w:val="24"/>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inform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Upon written request by Indemnitee for indemnification pursuant to the first sentence of </w:t>
      </w:r>
      <w:r>
        <w:rPr>
          <w:rFonts w:ascii="Times New Roman" w:hAnsi="Times New Roman"/>
          <w:color w:val="000000"/>
          <w:sz w:val="24"/>
          <w:u w:val="single"/>
        </w:rPr>
        <w:t>Section 6(a)</w:t>
      </w:r>
      <w:r>
        <w:rPr>
          <w:color w:val="000000"/>
        </w:rPr>
        <w:t xml:space="preserve"> </w:t>
      </w:r>
      <w:r>
        <w:rPr>
          <w:rFonts w:ascii="Times New Roman" w:hAnsi="Times New Roman"/>
          <w:color w:val="000000"/>
          <w:sz w:val="24"/>
        </w:rPr>
        <w:t>hereof, a determination with respect to Indemnitee’s entitlement thereto shall be made in the specific case by one of the following four methods, which shall be at the election of the Board: (1) by a majority vote of the Disinterested Directors (as hereinafter defined),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hereinafter defined) in a written opinion to the Board, a copy of which shall be delivered to the Indemnitee, or (4) if so directed by the Board, by the stockholders of the Company. Notwithstanding the foregoing, at the written request of Indemnitee following a Change in Control (as hereinafter defined), the determination shall be made by Independent Counsel in a written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If the determination of entitlement to indemnification is to be made by Independent Counsel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hereof, the Independent Counsel shall be selected as provided in this </w:t>
      </w:r>
      <w:r>
        <w:rPr>
          <w:rFonts w:ascii="Times New Roman" w:hAnsi="Times New Roman"/>
          <w:color w:val="000000"/>
          <w:sz w:val="24"/>
          <w:u w:val="single"/>
        </w:rPr>
        <w:t>Section 6(c)</w:t>
      </w:r>
      <w:r>
        <w:rPr>
          <w:rFonts w:ascii="Times New Roman" w:hAnsi="Times New Roman"/>
          <w:color w:val="000000"/>
          <w:sz w:val="24"/>
        </w:rPr>
        <w:t xml:space="preserve">. The Independent Counsel shall be selected by the Board, </w:t>
      </w:r>
      <w:r>
        <w:rPr>
          <w:rFonts w:ascii="Times New Roman" w:hAnsi="Times New Roman"/>
          <w:color w:val="000000"/>
          <w:sz w:val="24"/>
          <w:u w:val="single"/>
        </w:rPr>
        <w:t>provided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that Independent Counsel will be selected by Indemnitee following a Change in Control of the Company. Indemnitee (or the Company, after a Change in Control) may, within ten (10) days after such written notice of selection shall have been given, deliver to the Company (or the Indemnitee, following a Change in Control) a written objection to such selection;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objection may be asserted only on the ground that the Independent Counsel so selected does not meet the requirements of “</w:t>
      </w:r>
      <w:r>
        <w:rPr>
          <w:rFonts w:ascii="Times New Roman" w:hAnsi="Times New Roman"/>
          <w:color w:val="000000"/>
          <w:sz w:val="24"/>
          <w:u w:val="single"/>
        </w:rPr>
        <w:t>Independent Counsel</w:t>
      </w:r>
      <w:r>
        <w:rPr>
          <w:color w:val="000000"/>
        </w:rPr>
        <w:t xml:space="preserve">” </w:t>
      </w:r>
      <w:r>
        <w:rPr>
          <w:rFonts w:ascii="Times New Roman" w:hAnsi="Times New Roman"/>
          <w:color w:val="000000"/>
          <w:sz w:val="24"/>
        </w:rPr>
        <w:t xml:space="preserve">as defined in </w:t>
      </w:r>
      <w:r>
        <w:rPr>
          <w:rFonts w:ascii="Times New Roman" w:hAnsi="Times New Roman"/>
          <w:color w:val="000000"/>
          <w:sz w:val="24"/>
          <w:u w:val="single"/>
        </w:rPr>
        <w:t>Section 13</w:t>
      </w:r>
      <w:r>
        <w:rPr>
          <w:color w:val="000000"/>
        </w:rPr>
        <w:t xml:space="preserve"> </w:t>
      </w:r>
      <w:r>
        <w:rPr>
          <w:rFonts w:ascii="Times New Roman" w:hAnsi="Times New Roman"/>
          <w:color w:val="000000"/>
          <w:sz w:val="24"/>
        </w:rPr>
        <w:t xml:space="preserve">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hAnsi="Times New Roman"/>
          <w:color w:val="000000"/>
          <w:sz w:val="24"/>
          <w:u w:val="single"/>
        </w:rPr>
        <w:t>Section 6(a)</w:t>
      </w:r>
      <w:r>
        <w:rPr>
          <w:color w:val="000000"/>
        </w:rPr>
        <w:t xml:space="preserve"> </w:t>
      </w:r>
      <w:r>
        <w:rPr>
          <w:rFonts w:ascii="Times New Roman" w:hAnsi="Times New Roman"/>
          <w:color w:val="000000"/>
          <w:sz w:val="24"/>
        </w:rPr>
        <w:t xml:space="preserve">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hereof. The Company shall pay any and all reasonable fees and Expenses of Independent Counsel incurred by such Independent Counsel in connection with acting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hereof, and the Company shall pay all reasonable fees and Expenses incident to the procedures of this </w:t>
      </w:r>
      <w:r>
        <w:rPr>
          <w:rFonts w:ascii="Times New Roman" w:hAnsi="Times New Roman"/>
          <w:color w:val="000000"/>
          <w:sz w:val="24"/>
          <w:u w:val="single"/>
        </w:rPr>
        <w:t>Section 6(c)</w:t>
      </w:r>
      <w:r>
        <w:rPr>
          <w:rFonts w:ascii="Times New Roman" w:hAnsi="Times New Roman"/>
          <w:color w:val="000000"/>
          <w:sz w:val="24"/>
        </w:rPr>
        <w:t>, regardless of the manner in which such Independent Counsel was selected or appointed.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hAnsi="Times New Roman"/>
          <w:color w:val="000000"/>
          <w:sz w:val="24"/>
          <w:u w:val="single"/>
        </w:rPr>
        <w:t>Section 6(e)</w:t>
      </w:r>
      <w:r>
        <w:rPr>
          <w:color w:val="000000"/>
        </w:rPr>
        <w:t xml:space="preserve"> </w:t>
      </w:r>
      <w:r>
        <w:rPr>
          <w:rFonts w:ascii="Times New Roman" w:hAnsi="Times New Roman"/>
          <w:color w:val="000000"/>
          <w:sz w:val="24"/>
        </w:rPr>
        <w:t xml:space="preserve">are satisfied, it shall in any event be presumed that Indemnitee has at all times acted in good faith and in a manner he reasonably believed to be in or not opposed to the best interests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Anyone seeking to overcome this presumption shall have the burden of proof and the burden of persuasion by clear and convincing evidence.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If the person, persons or entity empowered or selected under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foregoing provisions of this </w:t>
      </w:r>
      <w:r>
        <w:rPr>
          <w:rFonts w:ascii="Times New Roman" w:hAnsi="Times New Roman"/>
          <w:color w:val="000000"/>
          <w:sz w:val="24"/>
          <w:u w:val="single"/>
        </w:rPr>
        <w:t>Section 6(f)</w:t>
      </w:r>
      <w:r>
        <w:rPr>
          <w:color w:val="000000"/>
        </w:rPr>
        <w:t xml:space="preserve"> </w:t>
      </w:r>
      <w:r>
        <w:rPr>
          <w:rFonts w:ascii="Times New Roman" w:hAnsi="Times New Roman"/>
          <w:color w:val="000000"/>
          <w:sz w:val="24"/>
        </w:rPr>
        <w:t xml:space="preserve">shall not apply if the determination of entitlement to indemnification is to be made by the stockholders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Remedies of Indemnitee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In the event that (i) a determination is made pursuant to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of this Agreement that Indemnitee is not entitled to indemnification under this Agreement, (ii) advancement of Expenses is not timely made pursuant to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 xml:space="preserve">of this Agreement, (iii) no determination of entitlement to indemnification is made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hAnsi="Times New Roman"/>
          <w:color w:val="000000"/>
          <w:sz w:val="24"/>
          <w:u w:val="single"/>
        </w:rPr>
        <w:t>Section 7(a)</w:t>
      </w:r>
      <w:r>
        <w:rPr>
          <w:rFonts w:ascii="Times New Roman" w:hAnsi="Times New Roman"/>
          <w:color w:val="000000"/>
          <w:sz w:val="24"/>
        </w:rPr>
        <w:t>. The Company shall not oppose Indemnitee’s right to seek any such adjudication.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the event that a determination shall have been made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of this Agreement that Indemnitee is not entitled to indemnification, any judicial proceeding commenced pursuant to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shall be conducted in all respects as a de novo trial on the merits, and Indemnitee shall not be prejudiced by reason of the adverse determination under </w:t>
      </w:r>
      <w:r>
        <w:rPr>
          <w:rFonts w:ascii="Times New Roman" w:hAnsi="Times New Roman"/>
          <w:color w:val="000000"/>
          <w:sz w:val="24"/>
          <w:u w:val="single"/>
        </w:rPr>
        <w:t>Section 6(b)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If a determination shall have been made pursuant to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 xml:space="preserve">of this Agreement that Indemnitee is entitled to indemnification, the Company shall be bound by such determination in any judicial proceeding commenced pursuant to this </w:t>
      </w:r>
      <w:r>
        <w:rPr>
          <w:rFonts w:ascii="Times New Roman" w:hAnsi="Times New Roman"/>
          <w:color w:val="000000"/>
          <w:sz w:val="24"/>
          <w:u w:val="single"/>
        </w:rPr>
        <w:t>Section 7</w:t>
      </w:r>
      <w:r>
        <w:rPr>
          <w:rFonts w:ascii="Times New Roman" w:hAnsi="Times New Roman"/>
          <w:color w:val="000000"/>
          <w:sz w:val="24"/>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In the event that Indemnitee, pursuant to this </w:t>
      </w:r>
      <w:r>
        <w:rPr>
          <w:rFonts w:ascii="Times New Roman" w:hAnsi="Times New Roman"/>
          <w:color w:val="000000"/>
          <w:sz w:val="24"/>
          <w:u w:val="single"/>
        </w:rPr>
        <w:t>Section 7</w:t>
      </w:r>
      <w:r>
        <w:rPr>
          <w:rFonts w:ascii="Times New Roman" w:hAnsi="Times New Roman"/>
          <w:color w:val="000000"/>
          <w:sz w:val="24"/>
        </w:rPr>
        <w:t xml:space="preserve">, seeks a judicial adjudication of his rights under, or to recover damages for breach of, this Agreement, or to recover under any directors’ and officers’ liability insurance policies maintained by the Company, the Company shall pay on Indemnitee’s behalf, in advance, any and all Expenses actually and reasonably incurred by him in such judicial adjudication, regardless of whether Indemnitee ultimately is determined to be entitled to such indemnification, advancement of Expenses or insurance recovery. The Company irrevocably authorizes the Indemnitee from time to time to retain counsel of Indemnitee’s choice, at the expense of the Company to the extent provided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hereunder or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The Company shall be precluded from asserting in any judicial proceeding commenced pursuant to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or officers’ liability insurance policies maintained by the Company, regardless of whether Indemnitee ultimately is determined to be entitled to such indemnification, advancement of Expenses or insurance recovery,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Agreement to the contrary, no determination as to entitlement to indemnification under this Agreement shall be required to be made prior to the final disposition of the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Non-Exclusivity; Survival of Rights; Insurance; Primacy of Indemnification; Subrogation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rights of indemnification as provided by this Agreement shall not be deemed exclusive of any other rights to which Indemnitee may at any time be entitled under applicable law, the Restated Certificate,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Restated Certificate,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obtain and maintain in effect during the entire period for which the Company is obligated to indemnify Indemnitee under this Agreement one or more policies of insurance with reputable insurance companies to provide the directors and officers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with commercially reasonable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 At the time of the receipt of a notice of a claim pursuant to the terms hereof,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acknowledges that Indemnitee has certain rights to indemnification, advancement of expenses and/or insurance provided by one or more VC Funds and certain of its or their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Bylaws and Restated Certificate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provided in paragraph (c) above, the Company’s obligation to indemnify or advance Expenses hereunder to Indemnitee who is or was serving at the request of the Company as a director, officer, employee or agent of any other corporation, partnership, joint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Exception to Right of Indemnification</w:t>
      </w:r>
      <w:r>
        <w:rPr>
          <w:rFonts w:ascii="Times New Roman" w:hAnsi="Times New Roman"/>
          <w:color w:val="000000"/>
          <w:sz w:val="24"/>
        </w:rPr>
        <w:t>. Notwithstanding any provision in this Agreement, the Company shall not be obligated under this Agreement to make any indemnity in connection with any claim made against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for an accounting of profits made from the purchase and sale (or sale and purchase) by Indemnitee of securities of the Company within the meaning of </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of the Securities Exchange Act of 1934, as amended, or similar provisions of state statutory law or common law;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Proceeding is initiated by Indemnitee pursuant to Indemnitee’s rights under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of this Agreement, or (iii) the Company provides the indemnification, in its sole discretion, pursuant to the powers vested in the Company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Duration of Agreement</w:t>
      </w:r>
      <w:r>
        <w:rPr>
          <w:rFonts w:ascii="Times New Roman" w:hAnsi="Times New Roman"/>
          <w:color w:val="000000"/>
          <w:sz w:val="24"/>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Security</w:t>
      </w:r>
      <w:r>
        <w:rPr>
          <w:rFonts w:ascii="Times New Roman" w:hAnsi="Times New Roman"/>
          <w:color w:val="000000"/>
          <w:sz w:val="24"/>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Enforcement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For purposes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a Liquidation Event as defined in the Company’s Restated Certificate, as such may be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u w:val="single"/>
        </w:rPr>
        <w:t>Corporate Status</w:t>
      </w:r>
      <w:r>
        <w:rPr>
          <w:color w:val="000000"/>
        </w:rPr>
        <w:t xml:space="preserve">” </w:t>
      </w:r>
      <w:r>
        <w:rPr>
          <w:rFonts w:ascii="Times New Roman" w:hAnsi="Times New Roman"/>
          <w:color w:val="000000"/>
          <w:sz w:val="24"/>
        </w:rPr>
        <w:t>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Disinterested Director</w:t>
      </w:r>
      <w:r>
        <w:rPr>
          <w:color w:val="000000"/>
        </w:rPr>
        <w:t xml:space="preserve">” </w:t>
      </w:r>
      <w:r>
        <w:rPr>
          <w:rFonts w:ascii="Times New Roman" w:hAnsi="Times New Roman"/>
          <w:color w:val="000000"/>
          <w:sz w:val="24"/>
        </w:rPr>
        <w:t>means a director of the Company who is not and was not a party to the Proceeding in respect of which indemnification is sought by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color w:val="000000"/>
          <w:sz w:val="24"/>
          <w:u w:val="single"/>
        </w:rPr>
        <w:t>Enterprise</w:t>
      </w:r>
      <w:r>
        <w:rPr>
          <w:color w:val="000000"/>
        </w:rPr>
        <w:t xml:space="preserve">” </w:t>
      </w:r>
      <w:r>
        <w:rPr>
          <w:rFonts w:ascii="Times New Roman" w:hAnsi="Times New Roman"/>
          <w:color w:val="000000"/>
          <w:sz w:val="24"/>
        </w:rPr>
        <w:t>shall mean the Company and any other corporation, partnership, joint venture, trust, employee benefit plan or other enterprise that Indemnitee is or was serving at the express written request of the Company as a director, officer, employee, agent or fiduciary.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color w:val="000000"/>
          <w:sz w:val="24"/>
          <w:u w:val="single"/>
        </w:rPr>
        <w:t>Expenses</w:t>
      </w:r>
      <w:r>
        <w:rPr>
          <w:color w:val="000000"/>
        </w:rPr>
        <w:t xml:space="preserve">” </w:t>
      </w:r>
      <w:r>
        <w:rPr>
          <w:rFonts w:ascii="Times New Roman" w:hAnsi="Times New Roman"/>
          <w:color w:val="000000"/>
          <w:sz w:val="24"/>
        </w:rPr>
        <w:t>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color w:val="000000"/>
          <w:sz w:val="24"/>
          <w:u w:val="single"/>
        </w:rPr>
        <w:t>Independent Counsel</w:t>
      </w:r>
      <w:r>
        <w:rPr>
          <w:color w:val="000000"/>
        </w:rPr>
        <w:t xml:space="preserve">” </w:t>
      </w:r>
      <w:r>
        <w:rPr>
          <w:rFonts w:ascii="Times New Roman" w:hAnsi="Times New Roman"/>
          <w:color w:val="000000"/>
          <w:sz w:val="24"/>
        </w:rPr>
        <w:t xml:space="preserve">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color w:val="000000"/>
          <w:sz w:val="24"/>
          <w:u w:val="single"/>
        </w:rPr>
        <w:t>Proceeding</w:t>
      </w:r>
      <w:r>
        <w:rPr>
          <w:color w:val="000000"/>
        </w:rPr>
        <w:t xml:space="preserve">” </w:t>
      </w:r>
      <w:r>
        <w:rPr>
          <w:rFonts w:ascii="Times New Roman" w:hAnsi="Times New Roman"/>
          <w:color w:val="000000"/>
          <w:sz w:val="24"/>
        </w:rPr>
        <w:t xml:space="preserve">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him or of any inaction on his part while acting as an officer or director of the 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of this Agreement to enforce his rights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Modification and Waiver</w:t>
      </w:r>
      <w:r>
        <w:rPr>
          <w:rFonts w:ascii="Times New Roman" w:hAnsi="Times New Roman"/>
          <w:color w:val="000000"/>
          <w:sz w:val="24"/>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Notice By Indemnitee</w:t>
      </w:r>
      <w:r>
        <w:rPr>
          <w:rFonts w:ascii="Times New Roman" w:hAnsi="Times New Roman"/>
          <w:color w:val="000000"/>
          <w:sz w:val="24"/>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xml:space="preserve">.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prepaid, or (d) one (1) day after deposit with a nationally recognized overnight courier, specifying next day delivery, with written verification of receipt. All communications shall be 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Indemnitee at the address set forth below Indemnitee’s signature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 at:</w:t>
      </w:r>
    </w:p>
    <w:p>
      <w:pPr>
        <w:pStyle w:val="TextBody"/>
        <w:bidi w:val="0"/>
        <w:jc w:val="both"/>
        <w:rPr>
          <w:rFonts w:ascii="Times New Roman" w:hAnsi="Times New Roman"/>
          <w:color w:val="000000"/>
          <w:sz w:val="24"/>
        </w:rPr>
      </w:pPr>
      <w:r>
        <w:rPr>
          <w:rFonts w:ascii="Times New Roman" w:hAnsi="Times New Roman"/>
          <w:color w:val="000000"/>
          <w:sz w:val="24"/>
        </w:rPr>
        <w:t>ContextLogic Holdings Inc.</w:t>
      </w:r>
    </w:p>
    <w:p>
      <w:pPr>
        <w:pStyle w:val="TextBody"/>
        <w:bidi w:val="0"/>
        <w:jc w:val="both"/>
        <w:rPr>
          <w:rFonts w:ascii="Times New Roman" w:hAnsi="Times New Roman"/>
          <w:color w:val="000000"/>
          <w:sz w:val="24"/>
        </w:rPr>
      </w:pPr>
      <w:r>
        <w:rPr>
          <w:rFonts w:ascii="Times New Roman" w:hAnsi="Times New Roman"/>
          <w:color w:val="000000"/>
          <w:sz w:val="24"/>
        </w:rPr>
        <w:t>2648 International Blvd Ste 301</w:t>
      </w:r>
    </w:p>
    <w:p>
      <w:pPr>
        <w:pStyle w:val="TextBody"/>
        <w:bidi w:val="0"/>
        <w:jc w:val="both"/>
        <w:rPr>
          <w:rFonts w:ascii="Times New Roman" w:hAnsi="Times New Roman"/>
          <w:color w:val="000000"/>
          <w:sz w:val="24"/>
        </w:rPr>
      </w:pPr>
      <w:r>
        <w:rPr>
          <w:rFonts w:ascii="Times New Roman" w:hAnsi="Times New Roman"/>
          <w:color w:val="000000"/>
          <w:sz w:val="24"/>
        </w:rPr>
        <w:t>Oakland, CA 94601</w:t>
      </w:r>
    </w:p>
    <w:p>
      <w:pPr>
        <w:pStyle w:val="TextBody"/>
        <w:bidi w:val="0"/>
        <w:jc w:val="both"/>
        <w:rPr>
          <w:rFonts w:ascii="Times New Roman" w:hAnsi="Times New Roman"/>
          <w:color w:val="000000"/>
          <w:sz w:val="24"/>
        </w:rPr>
      </w:pPr>
      <w:r>
        <w:rPr>
          <w:rFonts w:ascii="Times New Roman" w:hAnsi="Times New Roman"/>
          <w:color w:val="000000"/>
          <w:sz w:val="24"/>
        </w:rPr>
        <w:t>Attention: President, Corporate Secretary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Email: </w:t>
      </w:r>
      <w:r>
        <w:rPr>
          <w:rFonts w:ascii="Times New Roman" w:hAnsi="Times New Roman"/>
          <w:sz w:val="24"/>
        </w:rPr>
        <w:t>mward@contextlogic.com</w:t>
      </w:r>
      <w:r>
        <w:rPr>
          <w:rFonts w:ascii="Times New Roman" w:hAnsi="Times New Roman"/>
          <w:color w:val="000000"/>
          <w:sz w:val="24"/>
        </w:rPr>
        <w:t xml:space="preserve">; </w:t>
      </w:r>
      <w:r>
        <w:rPr>
          <w:rFonts w:ascii="Times New Roman" w:hAnsi="Times New Roman"/>
          <w:sz w:val="24"/>
        </w:rPr>
        <w:t>mlewis@contextlogic.com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to such other address as may have been furnished to Indemnitee by the Company or to the Company by Indemnitee,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of the paragraphs of this Agreement are inserted for convenience only and shall not be deemed to constitute part of this Agreement or to affect the construction thereof.</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720"/>
        <w:jc w:val="both"/>
        <w:rPr/>
      </w:pPr>
      <w:r>
        <w:rPr>
          <w:rFonts w:ascii="Times New Roman" w:hAnsi="Times New Roman"/>
          <w:color w:val="000000"/>
          <w:sz w:val="24"/>
          <w:u w:val="single"/>
        </w:rPr>
        <w:t>Governing Law and Consent to Jurisdiction</w:t>
      </w:r>
      <w:r>
        <w:rPr>
          <w:rFonts w:ascii="Times New Roman" w:hAnsi="Times New Roman"/>
          <w:color w:val="000000"/>
          <w:sz w:val="24"/>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hAnsi="Times New Roman"/>
          <w:color w:val="000000"/>
          <w:sz w:val="24"/>
          <w:u w:val="single"/>
        </w:rPr>
        <w:t>Delaware Court</w:t>
      </w:r>
      <w:r>
        <w:rPr>
          <w:color w:val="000000"/>
        </w:rPr>
        <w:t>”</w:t>
      </w:r>
      <w:r>
        <w:rPr>
          <w:rFonts w:ascii="Times New Roman" w:hAnsi="Times New Roman"/>
          <w:color w:val="000000"/>
          <w:sz w:val="24"/>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IN WITNESS WHEREOF, the parties hereto have executed this Indemnification Agreement on and as of the day and year first above written.</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CONTEXTLOGIC HOLDINGS INC.</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By: ___________________________________</w:t>
        <w:br/>
        <w:t>Name: Mark Ward</w:t>
        <w:br/>
        <w:t>Title: President</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INDEMNITEE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______________________________________</w:t>
        <w:br/>
        <w:t>Name: Scott Stewart</w:t>
      </w:r>
    </w:p>
    <w:p>
      <w:pPr>
        <w:pStyle w:val="TextBody"/>
        <w:bidi w:val="0"/>
        <w:jc w:val="left"/>
        <w:rPr>
          <w:rFonts w:ascii="Times New Roman" w:hAnsi="Times New Roman"/>
          <w:color w:val="000000"/>
          <w:sz w:val="24"/>
        </w:rPr>
      </w:pPr>
      <w:r>
        <w:rPr>
          <w:rFonts w:ascii="Times New Roman" w:hAnsi="Times New Roman"/>
          <w:color w:val="000000"/>
          <w:sz w:val="24"/>
        </w:rPr>
        <w:br/>
        <w:t>Address: c/o ContextLogic Holdings Inc.</w:t>
      </w:r>
    </w:p>
    <w:p>
      <w:pPr>
        <w:pStyle w:val="TextBody"/>
        <w:bidi w:val="0"/>
        <w:jc w:val="left"/>
        <w:rPr>
          <w:rFonts w:ascii="Times New Roman" w:hAnsi="Times New Roman"/>
          <w:color w:val="000000"/>
          <w:sz w:val="24"/>
        </w:rPr>
      </w:pPr>
      <w:r>
        <w:rPr>
          <w:rFonts w:ascii="Times New Roman" w:hAnsi="Times New Roman"/>
          <w:color w:val="000000"/>
          <w:sz w:val="24"/>
        </w:rPr>
        <w:t>2648 International Blvd., Suite 301</w:t>
      </w:r>
    </w:p>
    <w:p>
      <w:pPr>
        <w:pStyle w:val="TextBody"/>
        <w:bidi w:val="0"/>
        <w:jc w:val="left"/>
        <w:rPr>
          <w:rFonts w:ascii="Times New Roman" w:hAnsi="Times New Roman"/>
          <w:color w:val="000000"/>
          <w:sz w:val="24"/>
        </w:rPr>
      </w:pPr>
      <w:r>
        <w:rPr>
          <w:rFonts w:ascii="Times New Roman" w:hAnsi="Times New Roman"/>
          <w:color w:val="000000"/>
          <w:sz w:val="24"/>
        </w:rPr>
        <w:t>Oakland, CA 94601</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Indemnification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logc-ex99_1.htm"/>
      <w:bookmarkStart w:id="5" w:name="kslogcex99_1"/>
      <w:bookmarkEnd w:id="4"/>
      <w:bookmarkEnd w:id="5"/>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ContextLogic Holdings Inc. Announces</w:t>
        <w:br/>
        <w:t>Scott Stewart as Chief Financial Officer &amp; Chief Operating Officer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OAKLAND, Calif., June 01, 2026 (GLOBE NEWSWIRE) -- ContextLogic Holdings, Inc. (OTCQB: LOGC) (“ContextLogic,” the “Company,” “we” or “our”) announced the appointment of Scott Stewart as its Chief Financial Officer and Chief Operating Officer, effective June 1, 2026.</w:t>
      </w:r>
    </w:p>
    <w:p>
      <w:pPr>
        <w:pStyle w:val="TextBody"/>
        <w:bidi w:val="0"/>
        <w:spacing w:before="0" w:after="240"/>
        <w:jc w:val="both"/>
        <w:rPr>
          <w:rFonts w:ascii="Times New Roman" w:hAnsi="Times New Roman"/>
          <w:sz w:val="20"/>
        </w:rPr>
      </w:pPr>
      <w:r>
        <w:rPr>
          <w:rFonts w:ascii="Times New Roman" w:hAnsi="Times New Roman"/>
          <w:color w:val="000000"/>
          <w:sz w:val="22"/>
        </w:rPr>
        <w:t>Mr. Stewart joins ContextLogic with a career built around exactly what the Company needs: acquiring businesses, integrating them cleanly, and building the financial infrastructure to support them in a public company context.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Most recently, Mr. Stewart served as CFO of Cantaloupe, Inc. (Nasdaq: CTLP), a technology and payments company. He joined Cantaloupe in 2020 as Chief Accounting Officer, tasked with rebuilding Cantaloupe’s accounting function and controls, and was promoted to CFO in 2022 to lead the full finance organization — including financial reporting, planning and analysis, tax, treasury, and investor relations.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Cantaloupe, Mr. Stewart spent 13 years with Intercontinental Exchange, Inc., a Fortune 500 company that owns equity and commodity exchanges, most notably the New York Stock Exchange (NYSE), as well as various clearing houses across the globe. During his tenure at ICE, Mr. Stewart held various positions, most recently as Assistant Controller, where he managed corporate accounting, navigated complex technical accounting matters, and supported more than 30 acquisitions and integrations over his tenure — including the landmark acquisition of the NYSE.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Earlier in his career, Mr. Stewart spent four years at Ernst &amp; Young in their audit practice. Mr. Stewart holds a Bachelor of Science in Accounting and a Master of Professional Accountancy from Clemson University.</w:t>
      </w:r>
    </w:p>
    <w:p>
      <w:pPr>
        <w:pStyle w:val="TextBody"/>
        <w:bidi w:val="0"/>
        <w:spacing w:before="0" w:after="240"/>
        <w:jc w:val="both"/>
        <w:rPr>
          <w:color w:val="000000"/>
        </w:rPr>
      </w:pPr>
      <w:r>
        <w:rPr>
          <w:color w:val="000000"/>
        </w:rPr>
        <w:t>“</w:t>
      </w:r>
      <w:r>
        <w:rPr>
          <w:rFonts w:ascii="Times New Roman" w:hAnsi="Times New Roman"/>
          <w:color w:val="000000"/>
          <w:sz w:val="22"/>
        </w:rPr>
        <w:t>We are thrilled to welcome Scott to ContextLogic,” said Mark Ward, President of ContextLogic Holdings Inc. “As we build our portfolio of businesses, having someone who can run the financial and operational engine of the ownership platform is essential. Scott brings exactly the right experience and skillset.”</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ContextLogic</w:t>
      </w:r>
      <w:r>
        <w:rPr>
          <w:rFonts w:ascii="Times New Roman" w:hAnsi="Times New Roman"/>
          <w:color w:val="000000"/>
          <w:sz w:val="20"/>
        </w:rPr>
        <w:t xml:space="preserve"> </w:t>
      </w:r>
      <w:r>
        <w:rPr>
          <w:rFonts w:ascii="Times New Roman" w:hAnsi="Times New Roman"/>
          <w:b/>
          <w:color w:val="000000"/>
          <w:sz w:val="22"/>
        </w:rPr>
        <w:t>Holdings Inc.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ContextLogic Holdings Inc. is a publicly traded business ownership platform established to own a collection of niche, competitively advantaged, long-duration businesses. Each business operates with meaningful autonomy under world-class management teams whose incentives are tightly aligned with those of its shareholders, supported by a governance structure that creates direct accountability between operators and owners. For more information about ContextLogic, please visit </w:t>
      </w:r>
      <w:r>
        <w:rPr>
          <w:rFonts w:ascii="Times New Roman" w:hAnsi="Times New Roman"/>
          <w:sz w:val="22"/>
        </w:rPr>
        <w:t>www.contextlogic.com</w:t>
      </w:r>
      <w:r>
        <w:rPr>
          <w:rFonts w:ascii="Times New Roman" w:hAnsi="Times New Roman"/>
          <w:color w:val="000000"/>
          <w:sz w:val="22"/>
        </w:rPr>
        <w: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the Company’s plans to acquire businesses, integrate them and build financial infrastructure to support them and the impact of Mr. Stewart on the financial and operational aspects of the Company’s ownership platform.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future financial performance; future liquidity and operating expenditures; financial condition and results of operations; enforceability of transfer restrictions and occurrence of an ownership change with the result that ContextLogic’s ability to use its net operating losses could be severely limited; future legislation resulting in ContextLogic being unable to realize the benefits of the tax attributes; ContextLogic’s ability to make use of the existing benefits of the tax attributes because ContextLogic may not generate taxable income; risks related to any future acquisition of a business or assets; currently pending or future litigation; risks if we are deemed to be an investment company under the Investment Company Act of 1940; the effect of new accounting pronouncements; competitive changes in the marketplace and other characterizations of future events or circumstances;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(“SEC”), including the Annual Report on Form 10-K for the year ended December 31, 2025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Investor Relations: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Lucy Simon, CLHI</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sz w:val="22"/>
        </w:rPr>
        <w:t>ir@contextlogic.com</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10157</Words>
  <Characters>54949</Characters>
  <CharactersWithSpaces>64944</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