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43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438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11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LEVY PAUL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2648 INTERNATIONAL BLVD STE 301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ContextLogic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LOGC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160" w:space="655"/>
            <w:col w:w="3345"/>
          </w:cols>
          <w:pgMar w:left="460" w:top="219" w:right="359" w:bottom="1113"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OAKLAND</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94601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11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38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Great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06/01/2026</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jc w:val="right"/>
              <w:ind w:right="152"/>
              <w:spacing w:after="0"/>
              <w:rPr>
                <w:sz w:val="20"/>
                <w:szCs w:val="20"/>
                <w:color w:val="auto"/>
              </w:rPr>
            </w:pPr>
            <w:r>
              <w:rPr>
                <w:rFonts w:ascii="Times New Roman" w:cs="Times New Roman" w:eastAsia="Times New Roman" w:hAnsi="Times New Roman"/>
                <w:sz w:val="17"/>
                <w:szCs w:val="17"/>
                <w:color w:val="0000FF"/>
              </w:rPr>
              <w:t>6,712</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gridSpan w:val="3"/>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9.0232</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506,777</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Point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Ventures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Great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06/02/2026</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jc w:val="right"/>
              <w:ind w:right="112"/>
              <w:spacing w:after="0"/>
              <w:rPr>
                <w:sz w:val="20"/>
                <w:szCs w:val="20"/>
                <w:color w:val="auto"/>
              </w:rPr>
            </w:pPr>
            <w:r>
              <w:rPr>
                <w:rFonts w:ascii="Times New Roman" w:cs="Times New Roman" w:eastAsia="Times New Roman" w:hAnsi="Times New Roman"/>
                <w:sz w:val="17"/>
                <w:szCs w:val="17"/>
                <w:color w:val="0000FF"/>
              </w:rPr>
              <w:t>18,981</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gridSpan w:val="3"/>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9.0501</w:t>
            </w:r>
            <w:r>
              <w:rPr>
                <w:rFonts w:ascii="Times New Roman" w:cs="Times New Roman" w:eastAsia="Times New Roman" w:hAnsi="Times New Roman"/>
                <w:sz w:val="22"/>
                <w:szCs w:val="22"/>
                <w:color w:val="008000"/>
                <w:vertAlign w:val="superscript"/>
              </w:rPr>
              <w:t>(3)</w:t>
            </w: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525,758</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Point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Ventures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900" w:type="dxa"/>
            <w:vAlign w:val="bottom"/>
            <w:gridSpan w:val="10"/>
          </w:tcPr>
          <w:p>
            <w:pPr>
              <w:jc w:val="center"/>
              <w:ind w:left="4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at prices ranging from $9.00 to $9.05, inclusive. The Reporting Person undertakes to provide to the issuer, any security holder of the issuer, or the staff of the Securities and Exchange Commission, upon request, full information regarding the number of shares bought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Great Point Ventures, LLC ("GPV"). The reporting person is the sole manager of GPV, the members of which are certain trusts held for the benefit of family members of the reporting person. The reporting person disclaims beneficial ownership of the securities held by GPV, except to the extent of his pecuniary interest, if any, in the securities by virtue of his ownership of GPV. This report shall not be deemed an admission that the reporting person was the beneficial owner of such securities.</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at prices ranging from $9.04 to $9.07, inclusive. The Reporting Person undertakes to provide to the issuer, any security holder of the issuer, or the staff of the Securities and Exchange Commission, upon request, full information regarding the number of shares bought at each separate price within the ranges set forth above.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Marianne Lewis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06/03/2026</w:t>
            </w:r>
          </w:p>
        </w:tc>
      </w:tr>
      <w:tr>
        <w:trPr>
          <w:trHeight w:val="20"/>
        </w:trPr>
        <w:tc>
          <w:tcPr>
            <w:tcW w:w="13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1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10176" TargetMode="External"/><Relationship Id="rId14" Type="http://schemas.openxmlformats.org/officeDocument/2006/relationships/hyperlink" Target="http://www.sec.gov/cgi-bin/browse-edgar?action=getcompany&amp;CIK=00020643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2026-06-03T15:06:36Z</dcterms:created>
  <dcterms:modified xsi:type="dcterms:W3CDTF">2026-06-03T15:06:36Z</dcterms:modified>
</cp:coreProperties>
</file>